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DFBF0" w14:textId="3EB28C78" w:rsidR="009B0E2C" w:rsidRDefault="009B0E2C" w:rsidP="009B0E2C">
      <w:pPr>
        <w:spacing w:after="0" w:line="252" w:lineRule="auto"/>
        <w:rPr>
          <w:rFonts w:ascii="Calibri" w:eastAsia="Calibri" w:hAnsi="Calibri" w:cs="Times New Roman"/>
          <w:i/>
          <w:color w:val="FF0000"/>
          <w:kern w:val="0"/>
          <w14:ligatures w14:val="none"/>
        </w:rPr>
      </w:pPr>
      <w:r>
        <w:rPr>
          <w:rFonts w:ascii="Tahoma" w:eastAsia="Calibri" w:hAnsi="Tahoma" w:cs="Tahoma"/>
          <w:kern w:val="0"/>
          <w:lang w:eastAsia="hr-HR"/>
          <w14:ligatures w14:val="none"/>
        </w:rPr>
        <w:t xml:space="preserve">         </w:t>
      </w:r>
      <w:r>
        <w:rPr>
          <w:rFonts w:ascii="Tahoma" w:eastAsia="Calibri" w:hAnsi="Tahoma" w:cs="Tahoma"/>
          <w:noProof/>
          <w:kern w:val="0"/>
          <w:lang w:eastAsia="hr-HR"/>
          <w14:ligatures w14:val="none"/>
        </w:rPr>
        <w:drawing>
          <wp:inline distT="0" distB="0" distL="0" distR="0" wp14:anchorId="6CADF99D" wp14:editId="1383B48F">
            <wp:extent cx="323850" cy="400050"/>
            <wp:effectExtent l="0" t="0" r="0" b="0"/>
            <wp:docPr id="47929415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</w:p>
    <w:p w14:paraId="6FC7026C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REPUBLIKA HRVATSKA</w:t>
      </w:r>
    </w:p>
    <w:p w14:paraId="40B4DA14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SISAČKO MOSLAVAČKA ŽUPANIJA</w:t>
      </w:r>
    </w:p>
    <w:p w14:paraId="751EFA05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Upravni odjel za prostorno uređenje,</w:t>
      </w:r>
    </w:p>
    <w:p w14:paraId="406A79F8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graditeljstvo i obnovu</w:t>
      </w:r>
    </w:p>
    <w:p w14:paraId="4FD5E527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5BC4DCA3" w14:textId="11569176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KLASA: </w:t>
      </w:r>
      <w:r w:rsidR="004E6FDA">
        <w:rPr>
          <w:rFonts w:ascii="Calibri" w:eastAsia="Calibri" w:hAnsi="Calibri" w:cs="Times New Roman"/>
          <w:kern w:val="0"/>
          <w14:ligatures w14:val="none"/>
        </w:rPr>
        <w:t>400-08/24.01/12</w:t>
      </w:r>
    </w:p>
    <w:p w14:paraId="2A514065" w14:textId="570EE73E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URBROJ:2176-08/01-2</w:t>
      </w:r>
      <w:r>
        <w:rPr>
          <w:rFonts w:ascii="Calibri" w:eastAsia="Calibri" w:hAnsi="Calibri" w:cs="Times New Roman"/>
          <w:kern w:val="0"/>
          <w14:ligatures w14:val="none"/>
        </w:rPr>
        <w:t>5</w:t>
      </w:r>
      <w:r>
        <w:rPr>
          <w:rFonts w:ascii="Calibri" w:eastAsia="Calibri" w:hAnsi="Calibri" w:cs="Times New Roman"/>
          <w:kern w:val="0"/>
          <w14:ligatures w14:val="none"/>
        </w:rPr>
        <w:t>-</w:t>
      </w:r>
      <w:r w:rsidR="004E6FDA">
        <w:rPr>
          <w:rFonts w:ascii="Calibri" w:eastAsia="Calibri" w:hAnsi="Calibri" w:cs="Times New Roman"/>
          <w:kern w:val="0"/>
          <w14:ligatures w14:val="none"/>
        </w:rPr>
        <w:t>10</w:t>
      </w:r>
    </w:p>
    <w:p w14:paraId="0A201ABE" w14:textId="7C46EA0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Sisak, </w:t>
      </w:r>
      <w:r>
        <w:rPr>
          <w:rFonts w:ascii="Calibri" w:eastAsia="Calibri" w:hAnsi="Calibri" w:cs="Times New Roman"/>
          <w:kern w:val="0"/>
          <w14:ligatures w14:val="none"/>
        </w:rPr>
        <w:t>28</w:t>
      </w:r>
      <w:r>
        <w:rPr>
          <w:rFonts w:ascii="Calibri" w:eastAsia="Calibri" w:hAnsi="Calibri" w:cs="Times New Roman"/>
          <w:kern w:val="0"/>
          <w14:ligatures w14:val="none"/>
        </w:rPr>
        <w:t xml:space="preserve">. </w:t>
      </w:r>
      <w:r>
        <w:rPr>
          <w:rFonts w:ascii="Calibri" w:eastAsia="Calibri" w:hAnsi="Calibri" w:cs="Times New Roman"/>
          <w:kern w:val="0"/>
          <w14:ligatures w14:val="none"/>
        </w:rPr>
        <w:t>kolovoz</w:t>
      </w:r>
      <w:r>
        <w:rPr>
          <w:rFonts w:ascii="Calibri" w:eastAsia="Calibri" w:hAnsi="Calibri" w:cs="Times New Roman"/>
          <w:kern w:val="0"/>
          <w14:ligatures w14:val="none"/>
        </w:rPr>
        <w:t xml:space="preserve"> 202</w:t>
      </w:r>
      <w:r>
        <w:rPr>
          <w:rFonts w:ascii="Calibri" w:eastAsia="Calibri" w:hAnsi="Calibri" w:cs="Times New Roman"/>
          <w:kern w:val="0"/>
          <w14:ligatures w14:val="none"/>
        </w:rPr>
        <w:t>5</w:t>
      </w:r>
      <w:r>
        <w:rPr>
          <w:rFonts w:ascii="Calibri" w:eastAsia="Calibri" w:hAnsi="Calibri" w:cs="Times New Roman"/>
          <w:kern w:val="0"/>
          <w14:ligatures w14:val="none"/>
        </w:rPr>
        <w:t>. godine</w:t>
      </w:r>
    </w:p>
    <w:p w14:paraId="0CAE9968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>Upravni odjel za proračun, financije i</w:t>
      </w:r>
    </w:p>
    <w:p w14:paraId="213FEEF8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 xml:space="preserve">                  javnu nabavu </w:t>
      </w:r>
    </w:p>
    <w:p w14:paraId="2CBF5ECF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</w:p>
    <w:p w14:paraId="09F0001C" w14:textId="5FC19BB4" w:rsidR="009B0E2C" w:rsidRDefault="009B0E2C" w:rsidP="009B0E2C">
      <w:pPr>
        <w:spacing w:after="0" w:line="252" w:lineRule="auto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 xml:space="preserve">PREDMET:  Obrazloženje uz </w:t>
      </w:r>
      <w:r>
        <w:rPr>
          <w:rFonts w:ascii="Calibri" w:eastAsia="Calibri" w:hAnsi="Calibri" w:cs="Times New Roman"/>
          <w:b/>
          <w:kern w:val="0"/>
          <w14:ligatures w14:val="none"/>
        </w:rPr>
        <w:t>III.</w:t>
      </w:r>
      <w:r>
        <w:rPr>
          <w:rFonts w:ascii="Calibri" w:eastAsia="Calibri" w:hAnsi="Calibri" w:cs="Times New Roman"/>
          <w:b/>
          <w:kern w:val="0"/>
          <w14:ligatures w14:val="none"/>
        </w:rPr>
        <w:t xml:space="preserve"> izmjene i dopune proračuna Upravnog odjela za prostorno uređenje, graditeljstvo i obnovu za 202</w:t>
      </w:r>
      <w:r>
        <w:rPr>
          <w:rFonts w:ascii="Calibri" w:eastAsia="Calibri" w:hAnsi="Calibri" w:cs="Times New Roman"/>
          <w:b/>
          <w:kern w:val="0"/>
          <w14:ligatures w14:val="none"/>
        </w:rPr>
        <w:t>5</w:t>
      </w:r>
      <w:r>
        <w:rPr>
          <w:rFonts w:ascii="Calibri" w:eastAsia="Calibri" w:hAnsi="Calibri" w:cs="Times New Roman"/>
          <w:b/>
          <w:kern w:val="0"/>
          <w14:ligatures w14:val="none"/>
        </w:rPr>
        <w:t>. godinu, daje se</w:t>
      </w:r>
    </w:p>
    <w:p w14:paraId="5740EBDE" w14:textId="77777777" w:rsidR="009B0E2C" w:rsidRDefault="009B0E2C" w:rsidP="009B0E2C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</w:p>
    <w:p w14:paraId="70A5783D" w14:textId="2A1F9A6A" w:rsidR="009B0E2C" w:rsidRDefault="009B0E2C" w:rsidP="009B0E2C">
      <w:pPr>
        <w:spacing w:after="0" w:line="252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Sukladno predloženim</w:t>
      </w:r>
      <w:r>
        <w:rPr>
          <w:rFonts w:ascii="Calibri" w:eastAsia="Calibri" w:hAnsi="Calibri" w:cs="Times New Roman"/>
          <w:kern w:val="0"/>
          <w14:ligatures w14:val="none"/>
        </w:rPr>
        <w:t xml:space="preserve"> III.</w:t>
      </w:r>
      <w:r>
        <w:rPr>
          <w:rFonts w:ascii="Calibri" w:eastAsia="Calibri" w:hAnsi="Calibri" w:cs="Times New Roman"/>
          <w:kern w:val="0"/>
          <w14:ligatures w14:val="none"/>
        </w:rPr>
        <w:t xml:space="preserve"> izmjenama i dopunama proračuna za 202</w:t>
      </w:r>
      <w:r>
        <w:rPr>
          <w:rFonts w:ascii="Calibri" w:eastAsia="Calibri" w:hAnsi="Calibri" w:cs="Times New Roman"/>
          <w:kern w:val="0"/>
          <w14:ligatures w14:val="none"/>
        </w:rPr>
        <w:t>5</w:t>
      </w:r>
      <w:r>
        <w:rPr>
          <w:rFonts w:ascii="Calibri" w:eastAsia="Calibri" w:hAnsi="Calibri" w:cs="Times New Roman"/>
          <w:kern w:val="0"/>
          <w14:ligatures w14:val="none"/>
        </w:rPr>
        <w:t>. godinu daje se obrazloženja istoga za RAZDJEL 016- Upravni odjel za prostorno uređenje, graditeljstvo i obnovu (01601), dok za proračunskog korisnika - JU Zavod za prostorno uređenje SMŽ (01602) obzirom da nije bilo izmjena nema obrazloženja.</w:t>
      </w:r>
    </w:p>
    <w:p w14:paraId="1702BF23" w14:textId="77777777" w:rsidR="009B0E2C" w:rsidRDefault="009B0E2C" w:rsidP="009B0E2C">
      <w:pPr>
        <w:spacing w:after="0" w:line="252" w:lineRule="auto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5F6B68AC" w14:textId="77777777" w:rsidR="009B0E2C" w:rsidRDefault="009B0E2C" w:rsidP="009B0E2C">
      <w:pPr>
        <w:spacing w:after="0" w:line="252" w:lineRule="auto"/>
        <w:jc w:val="center"/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9B0E2C" w14:paraId="0580CA7E" w14:textId="77777777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B68D9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Program 1001</w:t>
            </w:r>
          </w:p>
          <w:p w14:paraId="031228EC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A246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4EA5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DA0B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Razlika </w:t>
            </w:r>
          </w:p>
        </w:tc>
      </w:tr>
      <w:tr w:rsidR="009B0E2C" w14:paraId="5FBB38F5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8F90" w14:textId="53948B38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Program 1001</w:t>
            </w:r>
          </w:p>
          <w:p w14:paraId="405341ED" w14:textId="65FBDA9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Dokumenti p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rostorno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g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uređenj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F77D" w14:textId="76DC5A45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75</w:t>
            </w: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0D0" w14:textId="10708870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9B0E2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70</w:t>
            </w:r>
            <w:r w:rsidRPr="009B0E2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BC57" w14:textId="77777777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9B0E2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-5.000,00</w:t>
            </w:r>
          </w:p>
        </w:tc>
      </w:tr>
      <w:tr w:rsidR="009B0E2C" w14:paraId="2FB608FE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9AA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06D07F80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Aktivnost A 100002</w:t>
            </w:r>
          </w:p>
          <w:p w14:paraId="07B80295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Plan približnih vrijednosti nekretnina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C0A2" w14:textId="77777777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B0E2C">
              <w:rPr>
                <w:rFonts w:ascii="Calibri" w:eastAsia="Calibri" w:hAnsi="Calibri" w:cs="Times New Roman"/>
                <w:sz w:val="18"/>
                <w:szCs w:val="18"/>
              </w:rPr>
              <w:t>10.000,00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CAAA" w14:textId="77777777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9DFF" w14:textId="77777777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-5.000,00</w:t>
            </w:r>
          </w:p>
        </w:tc>
      </w:tr>
      <w:tr w:rsidR="009B0E2C" w14:paraId="75F6ACAF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B76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Program 1007</w:t>
            </w:r>
          </w:p>
          <w:p w14:paraId="7409E20A" w14:textId="0E8CBA06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Upravljanje državnom imovinom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7C3D" w14:textId="0A6F6238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40.000,00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0B80" w14:textId="6C1749E2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4</w:t>
            </w:r>
            <w:r w:rsidRPr="009B0E2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3.000,00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F115" w14:textId="40420DEF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+</w:t>
            </w:r>
            <w:r w:rsidRPr="009B0E2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9B0E2C" w14:paraId="7B27D362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CB71" w14:textId="44AACAAC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Aktivnost A10000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14:paraId="5C209FB7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Upravljanje državnom imovinom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C1E72" w14:textId="04762CBB" w:rsidR="009B0E2C" w:rsidRP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B0E2C">
              <w:rPr>
                <w:rFonts w:ascii="Calibri" w:eastAsia="Calibri" w:hAnsi="Calibri" w:cs="Times New Roman"/>
                <w:sz w:val="18"/>
                <w:szCs w:val="18"/>
              </w:rPr>
              <w:t>40.000,00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FBFF" w14:textId="71B44D88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43.000,00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0D6C" w14:textId="20A1D5A1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+3.000,00</w:t>
            </w:r>
          </w:p>
        </w:tc>
      </w:tr>
      <w:tr w:rsidR="009B0E2C" w14:paraId="5A9F0C0E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3DB4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127CF9D6" w14:textId="77777777" w:rsidR="009B0E2C" w:rsidRDefault="009B0E2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393E" w14:textId="14ECD74D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115.000,00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E9B3" w14:textId="78ECD88E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113.000,00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3A44" w14:textId="1FF3E56F" w:rsidR="009B0E2C" w:rsidRDefault="009B0E2C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-2.000,00</w:t>
            </w:r>
          </w:p>
        </w:tc>
      </w:tr>
    </w:tbl>
    <w:p w14:paraId="229E6E9F" w14:textId="77777777" w:rsidR="009B0E2C" w:rsidRDefault="009B0E2C" w:rsidP="009B0E2C">
      <w:pPr>
        <w:spacing w:after="0" w:line="252" w:lineRule="auto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29F68BC2" w14:textId="7020EF05" w:rsidR="009B0E2C" w:rsidRDefault="009B0E2C" w:rsidP="009B0E2C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Upravni odjel ima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dva </w:t>
      </w:r>
      <w:r>
        <w:rPr>
          <w:rFonts w:ascii="Calibri" w:eastAsia="Calibri" w:hAnsi="Calibri" w:cs="Calibri"/>
          <w:bCs/>
          <w:kern w:val="0"/>
          <w14:ligatures w14:val="none"/>
        </w:rPr>
        <w:t>program</w:t>
      </w:r>
      <w:r>
        <w:rPr>
          <w:rFonts w:ascii="Calibri" w:eastAsia="Calibri" w:hAnsi="Calibri" w:cs="Calibri"/>
          <w:bCs/>
          <w:kern w:val="0"/>
          <w14:ligatures w14:val="none"/>
        </w:rPr>
        <w:t>a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-  </w:t>
      </w:r>
      <w:r>
        <w:rPr>
          <w:rFonts w:ascii="Calibri" w:eastAsia="Calibri" w:hAnsi="Calibri" w:cs="Calibri"/>
          <w:bCs/>
          <w:kern w:val="0"/>
          <w14:ligatures w14:val="none"/>
        </w:rPr>
        <w:t>dokumenti prostornog uređenja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 xml:space="preserve"> (program 1001)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i upravljanje državnom imovinom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 xml:space="preserve"> (program 1007)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. U programu dokumenti prostornog uređenja umanjen je prvotno planirani iznos za 5.000 eura na aktivnosti izrade Plana približnih vrijednosti nekretnina, jer se smatra da će </w:t>
      </w:r>
      <w:proofErr w:type="spellStart"/>
      <w:r>
        <w:rPr>
          <w:rFonts w:ascii="Calibri" w:eastAsia="Calibri" w:hAnsi="Calibri" w:cs="Calibri"/>
          <w:bCs/>
          <w:kern w:val="0"/>
          <w14:ligatures w14:val="none"/>
        </w:rPr>
        <w:t>novoplanirani</w:t>
      </w:r>
      <w:proofErr w:type="spellEnd"/>
      <w:r>
        <w:rPr>
          <w:rFonts w:ascii="Calibri" w:eastAsia="Calibri" w:hAnsi="Calibri" w:cs="Calibri"/>
          <w:bCs/>
          <w:kern w:val="0"/>
          <w14:ligatures w14:val="none"/>
        </w:rPr>
        <w:t xml:space="preserve"> iznos biti dostatan za namijenjene svrhe do kraja godine.</w:t>
      </w:r>
    </w:p>
    <w:p w14:paraId="4834F581" w14:textId="32CB69F9" w:rsidR="009B0E2C" w:rsidRDefault="009B0E2C" w:rsidP="009B0E2C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Planirani iznos za upravljanje držanom imovinom je 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 xml:space="preserve"> ukupno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povećan za 3.000 eura, te je izvršena preraspodjela unutar </w:t>
      </w:r>
      <w:r w:rsidR="00B25DFE">
        <w:rPr>
          <w:rFonts w:ascii="Calibri" w:eastAsia="Calibri" w:hAnsi="Calibri" w:cs="Calibri"/>
          <w:bCs/>
          <w:kern w:val="0"/>
          <w14:ligatures w14:val="none"/>
        </w:rPr>
        <w:t>pozicija ovog programa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>, a sukladno potrebama</w:t>
      </w:r>
      <w:r w:rsidR="00B25DFE">
        <w:rPr>
          <w:rFonts w:ascii="Calibri" w:eastAsia="Calibri" w:hAnsi="Calibri" w:cs="Calibri"/>
          <w:bCs/>
          <w:kern w:val="0"/>
          <w14:ligatures w14:val="none"/>
        </w:rPr>
        <w:t>.</w:t>
      </w:r>
    </w:p>
    <w:p w14:paraId="33069511" w14:textId="2C42D726" w:rsidR="009B0E2C" w:rsidRDefault="00B25DFE" w:rsidP="009B0E2C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O</w:t>
      </w:r>
      <w:r w:rsidR="009B0E2C">
        <w:rPr>
          <w:rFonts w:ascii="Calibri" w:eastAsia="Calibri" w:hAnsi="Calibri" w:cs="Calibri"/>
          <w:bCs/>
          <w:kern w:val="0"/>
          <w14:ligatures w14:val="none"/>
        </w:rPr>
        <w:t xml:space="preserve">brazloženje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izmjena </w:t>
      </w:r>
      <w:r w:rsidR="009B0E2C">
        <w:rPr>
          <w:rFonts w:ascii="Calibri" w:eastAsia="Calibri" w:hAnsi="Calibri" w:cs="Calibri"/>
          <w:bCs/>
          <w:kern w:val="0"/>
          <w14:ligatures w14:val="none"/>
        </w:rPr>
        <w:t>se daje za svaku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pojedinu </w:t>
      </w:r>
      <w:r w:rsidR="009B0E2C">
        <w:rPr>
          <w:rFonts w:ascii="Calibri" w:eastAsia="Calibri" w:hAnsi="Calibri" w:cs="Calibri"/>
          <w:bCs/>
          <w:kern w:val="0"/>
          <w14:ligatures w14:val="none"/>
        </w:rPr>
        <w:t xml:space="preserve"> aktivnost</w:t>
      </w:r>
      <w:r>
        <w:rPr>
          <w:rFonts w:ascii="Calibri" w:eastAsia="Calibri" w:hAnsi="Calibri" w:cs="Calibri"/>
          <w:bCs/>
          <w:kern w:val="0"/>
          <w14:ligatures w14:val="none"/>
        </w:rPr>
        <w:t>, po pozicijama proračuna,</w:t>
      </w:r>
      <w:r w:rsidR="009B0E2C">
        <w:rPr>
          <w:rFonts w:ascii="Calibri" w:eastAsia="Calibri" w:hAnsi="Calibri" w:cs="Calibri"/>
          <w:bCs/>
          <w:kern w:val="0"/>
          <w14:ligatures w14:val="none"/>
        </w:rPr>
        <w:t xml:space="preserve"> pa tako</w:t>
      </w:r>
      <w:r>
        <w:rPr>
          <w:rFonts w:ascii="Calibri" w:eastAsia="Calibri" w:hAnsi="Calibri" w:cs="Calibri"/>
          <w:bCs/>
          <w:kern w:val="0"/>
          <w14:ligatures w14:val="none"/>
        </w:rPr>
        <w:t>:</w:t>
      </w:r>
    </w:p>
    <w:p w14:paraId="1E9175B5" w14:textId="2CBE1E18" w:rsidR="009B0E2C" w:rsidRDefault="009B0E2C" w:rsidP="009B0E2C">
      <w:pPr>
        <w:numPr>
          <w:ilvl w:val="0"/>
          <w:numId w:val="1"/>
        </w:num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Aktivnost A 1000001 </w:t>
      </w:r>
      <w:r w:rsidR="00B25DFE">
        <w:rPr>
          <w:rFonts w:ascii="Calibri" w:eastAsia="Calibri" w:hAnsi="Calibri" w:cs="Calibri"/>
          <w:bCs/>
          <w:kern w:val="0"/>
          <w:u w:val="single"/>
          <w14:ligatures w14:val="none"/>
        </w:rPr>
        <w:t>–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 </w:t>
      </w:r>
      <w:r w:rsidR="00B25DFE">
        <w:rPr>
          <w:rFonts w:ascii="Calibri" w:eastAsia="Calibri" w:hAnsi="Calibri" w:cs="Calibri"/>
          <w:bCs/>
          <w:kern w:val="0"/>
          <w:u w:val="single"/>
          <w14:ligatures w14:val="none"/>
        </w:rPr>
        <w:t>p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>rostorno</w:t>
      </w:r>
      <w:r w:rsidR="00B25DFE"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 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>uređenj</w:t>
      </w:r>
      <w:r w:rsidR="00B25DFE">
        <w:rPr>
          <w:rFonts w:ascii="Calibri" w:eastAsia="Calibri" w:hAnsi="Calibri" w:cs="Calibri"/>
          <w:bCs/>
          <w:kern w:val="0"/>
          <w:u w:val="single"/>
          <w14:ligatures w14:val="none"/>
        </w:rPr>
        <w:t>e i gradnja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 </w:t>
      </w:r>
    </w:p>
    <w:p w14:paraId="02E24E24" w14:textId="77777777" w:rsidR="00B25DFE" w:rsidRDefault="009B0E2C" w:rsidP="009B0E2C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Kroz ovu aktivnost se provodi izrada prostorno planske dokumentacije. </w:t>
      </w:r>
      <w:r w:rsidR="00B25DFE">
        <w:rPr>
          <w:rFonts w:ascii="Calibri" w:eastAsia="Calibri" w:hAnsi="Calibri" w:cs="Calibri"/>
          <w:bCs/>
          <w:kern w:val="0"/>
          <w14:ligatures w14:val="none"/>
        </w:rPr>
        <w:t>Planirana sredstva nisu mijenjana.</w:t>
      </w:r>
    </w:p>
    <w:p w14:paraId="1537F646" w14:textId="77777777" w:rsidR="009B0E2C" w:rsidRDefault="009B0E2C" w:rsidP="009B0E2C">
      <w:pPr>
        <w:numPr>
          <w:ilvl w:val="0"/>
          <w:numId w:val="1"/>
        </w:num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Aktivnost A 1000002 - Izrada  Plana približnih vrijednosti nekretnina </w:t>
      </w:r>
    </w:p>
    <w:p w14:paraId="46549191" w14:textId="77777777" w:rsidR="00B25DFE" w:rsidRDefault="009B0E2C" w:rsidP="009B0E2C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Sredstva su namijenjena za izradu Plana približnih vrijednosti nekretnina, a budući da</w:t>
      </w:r>
      <w:r w:rsidR="00B25DFE">
        <w:rPr>
          <w:rFonts w:ascii="Calibri" w:eastAsia="Calibri" w:hAnsi="Calibri" w:cs="Calibri"/>
          <w:bCs/>
          <w:kern w:val="0"/>
          <w14:ligatures w14:val="none"/>
        </w:rPr>
        <w:t xml:space="preserve"> će manja sredstva od planiranih biti dostatna do kraja 2025. godine ista se sa 10.000, 00 eura umanjuje za 5.000.000 eura.</w:t>
      </w:r>
    </w:p>
    <w:p w14:paraId="69D3CEB9" w14:textId="77777777" w:rsidR="009B0E2C" w:rsidRDefault="009B0E2C" w:rsidP="009B0E2C">
      <w:pPr>
        <w:numPr>
          <w:ilvl w:val="0"/>
          <w:numId w:val="1"/>
        </w:num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>Aktivnost A 1000004 – u</w:t>
      </w:r>
      <w:r>
        <w:rPr>
          <w:rFonts w:ascii="Calibri" w:eastAsia="Calibri" w:hAnsi="Calibri" w:cs="Calibri"/>
          <w:bCs/>
          <w:kern w:val="0"/>
          <w14:ligatures w14:val="none"/>
        </w:rPr>
        <w:t>pravljanje državnom imovinom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 </w:t>
      </w:r>
    </w:p>
    <w:p w14:paraId="7DAE8451" w14:textId="3687BD0E" w:rsidR="009B0E2C" w:rsidRDefault="009B0E2C" w:rsidP="009B0E2C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Sredstva su namijenjena za  potrebe izrade elaborata procjene vrijednosti nekretnina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>, objavu javnih natječaja za prodaju zemljišta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u državnom vlasništvu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 xml:space="preserve">, plaćanje troškova komunalnih  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lastRenderedPageBreak/>
        <w:t xml:space="preserve">naknada i druge troškove za nekretnine. </w:t>
      </w:r>
      <w:r w:rsidR="004E6FDA">
        <w:rPr>
          <w:rFonts w:ascii="Calibri" w:eastAsia="Calibri" w:hAnsi="Calibri" w:cs="Calibri"/>
          <w:bCs/>
          <w:kern w:val="0"/>
          <w14:ligatures w14:val="none"/>
        </w:rPr>
        <w:t xml:space="preserve">Planirana sredstva su povećana u ukupnom iznosu za 3.000.00 eura, te su 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>preraspoređ</w:t>
      </w:r>
      <w:r w:rsidR="004E6FDA">
        <w:rPr>
          <w:rFonts w:ascii="Calibri" w:eastAsia="Calibri" w:hAnsi="Calibri" w:cs="Calibri"/>
          <w:bCs/>
          <w:kern w:val="0"/>
          <w14:ligatures w14:val="none"/>
        </w:rPr>
        <w:t>ena</w:t>
      </w:r>
      <w:r w:rsidR="00BD76ED">
        <w:rPr>
          <w:rFonts w:ascii="Calibri" w:eastAsia="Calibri" w:hAnsi="Calibri" w:cs="Calibri"/>
          <w:bCs/>
          <w:kern w:val="0"/>
          <w14:ligatures w14:val="none"/>
        </w:rPr>
        <w:t xml:space="preserve"> sukladno potrebama. </w:t>
      </w:r>
    </w:p>
    <w:p w14:paraId="2B1713F5" w14:textId="77777777" w:rsidR="009B0E2C" w:rsidRDefault="009B0E2C" w:rsidP="009B0E2C">
      <w:pPr>
        <w:tabs>
          <w:tab w:val="left" w:pos="3053"/>
        </w:tabs>
        <w:spacing w:line="252" w:lineRule="auto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2F6573A6" w14:textId="77777777" w:rsidR="009B0E2C" w:rsidRDefault="009B0E2C" w:rsidP="009B0E2C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Po pozicijama iznosi se mijenjaju na način prikazan u tablici:</w:t>
      </w:r>
    </w:p>
    <w:tbl>
      <w:tblPr>
        <w:tblStyle w:val="Reetkatablice"/>
        <w:tblW w:w="0" w:type="auto"/>
        <w:tblInd w:w="421" w:type="dxa"/>
        <w:tblLook w:val="04A0" w:firstRow="1" w:lastRow="0" w:firstColumn="1" w:lastColumn="0" w:noHBand="0" w:noVBand="1"/>
      </w:tblPr>
      <w:tblGrid>
        <w:gridCol w:w="1454"/>
        <w:gridCol w:w="1257"/>
        <w:gridCol w:w="1134"/>
        <w:gridCol w:w="4796"/>
      </w:tblGrid>
      <w:tr w:rsidR="009B0E2C" w14:paraId="38BFE537" w14:textId="77777777" w:rsidTr="00BD76ED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7262" w14:textId="77777777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Pozicija proračuna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F396" w14:textId="77777777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C777" w14:textId="77777777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Rebalans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F160" w14:textId="77777777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Obrazloženje</w:t>
            </w:r>
          </w:p>
        </w:tc>
      </w:tr>
      <w:tr w:rsidR="009B0E2C" w14:paraId="1B080217" w14:textId="77777777" w:rsidTr="00BD76ED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3B1" w14:textId="2669C4DF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R-2635-01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D66F" w14:textId="2E717E5C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1E97" w14:textId="6C38E1E4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5.000,00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5E85" w14:textId="09C16966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se smanjuju</w:t>
            </w:r>
            <w:r w:rsidR="004E6FDA">
              <w:rPr>
                <w:rFonts w:ascii="Calibri" w:eastAsia="Calibri" w:hAnsi="Calibri" w:cs="Calibri"/>
                <w:bCs/>
                <w:lang w:eastAsia="hr-HR"/>
              </w:rPr>
              <w:t xml:space="preserve"> za 5.000,00 eura,</w:t>
            </w:r>
            <w:r>
              <w:rPr>
                <w:rFonts w:ascii="Calibri" w:eastAsia="Calibri" w:hAnsi="Calibri" w:cs="Calibri"/>
                <w:bCs/>
                <w:lang w:eastAsia="hr-HR"/>
              </w:rPr>
              <w:t xml:space="preserve"> jer će novi iznos biti dostatan za ovu namjenu do kraja godine.</w:t>
            </w:r>
          </w:p>
        </w:tc>
      </w:tr>
      <w:tr w:rsidR="009B0E2C" w14:paraId="781014E3" w14:textId="77777777" w:rsidTr="00BD76ED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E3CE" w14:textId="7878FDCF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5566</w:t>
            </w:r>
            <w:r>
              <w:rPr>
                <w:rFonts w:ascii="Calibri" w:eastAsia="Calibri" w:hAnsi="Calibri" w:cs="Calibri"/>
                <w:bCs/>
                <w:lang w:eastAsia="hr-HR"/>
              </w:rPr>
              <w:t>-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1932" w14:textId="54ADE9C1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1.000,00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7852" w14:textId="42BEAE3F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4</w:t>
            </w:r>
            <w:r w:rsidR="009B0E2C">
              <w:rPr>
                <w:rFonts w:ascii="Calibri" w:eastAsia="Calibri" w:hAnsi="Calibri" w:cs="Calibri"/>
                <w:bCs/>
                <w:lang w:eastAsia="hr-HR"/>
              </w:rPr>
              <w:t>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9DA8" w14:textId="7BFD5024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 xml:space="preserve">Sredstva su namijenjena za  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usluge promidžbe i informiranja odnosno za objavu u Večernjem listu javnih natječaja za prodaju državnih nekretnina a obzirom na visoke troškove objav</w:t>
            </w:r>
            <w:r w:rsidR="004E6FDA">
              <w:rPr>
                <w:rFonts w:ascii="Calibri" w:eastAsia="Calibri" w:hAnsi="Calibri" w:cs="Calibri"/>
                <w:bCs/>
                <w:lang w:eastAsia="hr-HR"/>
              </w:rPr>
              <w:t>a i veći broj objavljenih natječaja,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 xml:space="preserve"> sredstva se povećavaju za </w:t>
            </w:r>
            <w:r w:rsidR="004E6FDA">
              <w:rPr>
                <w:rFonts w:ascii="Calibri" w:eastAsia="Calibri" w:hAnsi="Calibri" w:cs="Calibri"/>
                <w:bCs/>
                <w:lang w:eastAsia="hr-HR"/>
              </w:rPr>
              <w:t>3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.000 eura.</w:t>
            </w:r>
          </w:p>
        </w:tc>
      </w:tr>
      <w:tr w:rsidR="009B0E2C" w14:paraId="2E843D64" w14:textId="77777777" w:rsidTr="00BD76ED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4705" w14:textId="381D81DF" w:rsidR="009B0E2C" w:rsidRDefault="009B0E2C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5566</w:t>
            </w:r>
            <w:r>
              <w:rPr>
                <w:rFonts w:ascii="Calibri" w:eastAsia="Calibri" w:hAnsi="Calibri" w:cs="Calibri"/>
                <w:bCs/>
                <w:lang w:eastAsia="hr-HR"/>
              </w:rPr>
              <w:t>-0</w:t>
            </w:r>
            <w:r w:rsidR="00BD76ED">
              <w:rPr>
                <w:rFonts w:ascii="Calibri" w:eastAsia="Calibri" w:hAnsi="Calibri" w:cs="Calibri"/>
                <w:bCs/>
                <w:lang w:eastAsia="hr-HR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5CB8" w14:textId="698D3C1F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22.000,00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A06A" w14:textId="1AF0DE05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25.000,00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C45F" w14:textId="6EB7397E" w:rsidR="009B0E2C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su planirana za troškove izrade elaborata procjene vrijednosti nekretnina koje se prodaju</w:t>
            </w:r>
            <w:r w:rsidR="004E6FDA">
              <w:rPr>
                <w:rFonts w:ascii="Calibri" w:eastAsia="Calibri" w:hAnsi="Calibri" w:cs="Calibri"/>
                <w:bCs/>
                <w:lang w:eastAsia="hr-HR"/>
              </w:rPr>
              <w:t>, a ista se povećavaju za 3.000 eura, zbog većeg broja nekretnina koje se procjenjuju i prodaju.</w:t>
            </w:r>
          </w:p>
        </w:tc>
      </w:tr>
      <w:tr w:rsidR="00BD76ED" w14:paraId="224E4F81" w14:textId="77777777" w:rsidTr="00BD76ED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9ACD" w14:textId="56085365" w:rsidR="00BD76ED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R5566-02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77DF" w14:textId="737177B3" w:rsidR="00BD76ED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9834" w14:textId="33BD9BA4" w:rsidR="00BD76ED" w:rsidRDefault="00BD76ED">
            <w:pPr>
              <w:tabs>
                <w:tab w:val="left" w:pos="3053"/>
              </w:tabs>
              <w:spacing w:after="255" w:line="252" w:lineRule="auto"/>
              <w:contextualSpacing/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7.000,00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D5D6" w14:textId="2D35E2CD" w:rsidR="00BD76ED" w:rsidRDefault="004E6FDA">
            <w:pPr>
              <w:tabs>
                <w:tab w:val="left" w:pos="3053"/>
              </w:tabs>
              <w:spacing w:after="255" w:line="252" w:lineRule="auto"/>
              <w:contextualSpacing/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namijenjena za ostale troškove upravljanja državnim nekretninama se smanjuju za 3.000 eura , odnosno navedeni iznos je preraspoređen na poziciju R5566-01, zbog povećane potrebe za sredstvima na navedenoj poziciji.</w:t>
            </w:r>
          </w:p>
        </w:tc>
      </w:tr>
    </w:tbl>
    <w:p w14:paraId="2233E6BE" w14:textId="77777777" w:rsidR="009B0E2C" w:rsidRDefault="009B0E2C" w:rsidP="009B0E2C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3C27D074" w14:textId="77777777" w:rsidR="009B0E2C" w:rsidRDefault="009B0E2C" w:rsidP="009B0E2C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Za proračunskog korisnika – </w:t>
      </w:r>
      <w:r>
        <w:rPr>
          <w:rFonts w:ascii="Calibri" w:eastAsia="Calibri" w:hAnsi="Calibri" w:cs="Calibri"/>
          <w:b/>
          <w:kern w:val="0"/>
          <w:u w:val="single"/>
          <w14:ligatures w14:val="none"/>
        </w:rPr>
        <w:t>Zavod za prostorno uređenje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budući da nema izmjena obrazloženje se ne daje.</w:t>
      </w:r>
    </w:p>
    <w:p w14:paraId="5E74CC47" w14:textId="77777777" w:rsidR="009B0E2C" w:rsidRDefault="009B0E2C" w:rsidP="009B0E2C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41CDAD57" w14:textId="77777777" w:rsidR="009B0E2C" w:rsidRDefault="009B0E2C" w:rsidP="009B0E2C"/>
    <w:p w14:paraId="0A7FAB84" w14:textId="77777777" w:rsidR="009B0E2C" w:rsidRDefault="009B0E2C" w:rsidP="009B0E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Pročelnica Upravnog odjela</w:t>
      </w:r>
    </w:p>
    <w:p w14:paraId="5EE39050" w14:textId="77777777" w:rsidR="009B0E2C" w:rsidRDefault="009B0E2C" w:rsidP="009B0E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Blanka Bobetko Majstor4ović, dipl. ing. </w:t>
      </w:r>
      <w:proofErr w:type="spellStart"/>
      <w:r>
        <w:t>biol</w:t>
      </w:r>
      <w:proofErr w:type="spellEnd"/>
      <w:r>
        <w:t>.</w:t>
      </w:r>
    </w:p>
    <w:p w14:paraId="5B243117" w14:textId="77777777" w:rsidR="009B0E2C" w:rsidRDefault="009B0E2C" w:rsidP="009B0E2C"/>
    <w:p w14:paraId="167C2C01" w14:textId="77777777" w:rsidR="009B0E2C" w:rsidRDefault="009B0E2C" w:rsidP="009B0E2C">
      <w:r>
        <w:t xml:space="preserve">                                                                                                    </w:t>
      </w:r>
    </w:p>
    <w:p w14:paraId="34B0E460" w14:textId="77777777" w:rsidR="009B0E2C" w:rsidRDefault="009B0E2C" w:rsidP="009B0E2C"/>
    <w:p w14:paraId="66C0539C" w14:textId="77777777" w:rsidR="009B0E2C" w:rsidRDefault="009B0E2C"/>
    <w:sectPr w:rsidR="009B0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83490"/>
    <w:multiLevelType w:val="multilevel"/>
    <w:tmpl w:val="4D383490"/>
    <w:lvl w:ilvl="0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17893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2C"/>
    <w:rsid w:val="00164554"/>
    <w:rsid w:val="004E6FDA"/>
    <w:rsid w:val="009B0E2C"/>
    <w:rsid w:val="00B25DFE"/>
    <w:rsid w:val="00BD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9303"/>
  <w15:chartTrackingRefBased/>
  <w15:docId w15:val="{E3B0EC74-9260-4081-AC90-AD9600FC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E2C"/>
    <w:pPr>
      <w:spacing w:line="254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9B0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B0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B0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B0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B0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B0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B0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B0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B0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B0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B0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B0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B0E2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B0E2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B0E2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B0E2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B0E2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B0E2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B0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B0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B0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B0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B0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B0E2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B0E2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B0E2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B0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B0E2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B0E2C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9B0E2C"/>
    <w:pPr>
      <w:spacing w:after="0" w:line="240" w:lineRule="auto"/>
    </w:pPr>
    <w:rPr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blanka.bobetko.majstorovic@outlook.com</dc:creator>
  <cp:keywords/>
  <dc:description/>
  <cp:lastModifiedBy>blanka.bobetko.majstorovic@outlook.com</cp:lastModifiedBy>
  <cp:revision>1</cp:revision>
  <dcterms:created xsi:type="dcterms:W3CDTF">2025-08-28T08:00:00Z</dcterms:created>
  <dcterms:modified xsi:type="dcterms:W3CDTF">2025-08-28T08:38:00Z</dcterms:modified>
</cp:coreProperties>
</file>